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16" w:rsidRDefault="00130216">
      <w:pPr>
        <w:shd w:val="clear" w:color="auto" w:fill="FFFFFF"/>
        <w:ind w:left="120"/>
        <w:jc w:val="center"/>
      </w:pPr>
      <w:bookmarkStart w:id="0" w:name="_GoBack"/>
      <w:bookmarkEnd w:id="0"/>
      <w:r>
        <w:rPr>
          <w:rFonts w:eastAsia="Times New Roman"/>
          <w:sz w:val="28"/>
          <w:szCs w:val="28"/>
        </w:rPr>
        <w:t>Параметры кредитного продукта по прямому кредитованию для Субъектов МСП</w:t>
      </w:r>
    </w:p>
    <w:p w:rsidR="00130216" w:rsidRDefault="00130216">
      <w:pPr>
        <w:shd w:val="clear" w:color="auto" w:fill="FFFFFF"/>
        <w:ind w:left="96"/>
        <w:jc w:val="center"/>
      </w:pPr>
      <w:r>
        <w:rPr>
          <w:rFonts w:eastAsia="Times New Roman"/>
          <w:sz w:val="28"/>
          <w:szCs w:val="28"/>
        </w:rPr>
        <w:t>«Развитие моногородов» № МГР#Х#1.2</w:t>
      </w:r>
    </w:p>
    <w:p w:rsidR="00130216" w:rsidRDefault="00130216">
      <w:pPr>
        <w:spacing w:after="30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6"/>
        <w:gridCol w:w="12197"/>
      </w:tblGrid>
      <w:tr w:rsidR="0013021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  <w:ind w:left="10" w:right="307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1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 продукта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ind w:left="5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Целеполагание</w:t>
            </w:r>
          </w:p>
        </w:tc>
        <w:tc>
          <w:tcPr>
            <w:tcW w:w="1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  <w:ind w:left="5" w:hanging="10"/>
            </w:pPr>
            <w:r>
              <w:rPr>
                <w:rFonts w:eastAsia="Times New Roman"/>
                <w:sz w:val="24"/>
                <w:szCs w:val="24"/>
              </w:rPr>
              <w:t>Оказание   кредитной   поддержки   субъектам   МСП,    имеющим   зарегистрированных   или    осуществляющих предпринимательскую деятельность на территории моногородов в соответствии с Распоряжением Правительства РФ от 29 июля 2014 года№1398-р целях улучшения условий устойчивого развития предпринимательства.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1934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  <w:ind w:left="5" w:right="163"/>
            </w:pPr>
            <w:r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 xml:space="preserve">Целевой сегмент </w:t>
            </w:r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 xml:space="preserve">(Субъект МСП,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Заемщик)</w:t>
            </w:r>
          </w:p>
        </w:tc>
        <w:tc>
          <w:tcPr>
            <w:tcW w:w="1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  <w:ind w:right="29" w:hanging="10"/>
            </w:pPr>
            <w:r>
              <w:rPr>
                <w:rFonts w:eastAsia="Times New Roman"/>
                <w:sz w:val="24"/>
                <w:szCs w:val="24"/>
              </w:rPr>
              <w:t>Юридические лица или индивидуальные предприниматели, включенные в единый реестр субъектов малого и среднего предпринимательства и соответствующие требованиям статей 4 и 14 Федерального закона от 24.07.2007 года № 209-ФЗ  «О  развитии малого  и  среднего  предпринимательства в  Российской  Федерации» и  иным нормативным актам (в том числе, отсутствие в выписке из ЕГРЮЛ/ЕГРИП  Субъекта МСП основного или дополнительного вида деятельности, связанного с производством и (или) реализацией подакцизных товаров в соответствии со ст. 181 Налогового кодекса Российской Федерации или добычей и (или) реализацией полезных ископаемых (за исключением общераспространенных)).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8" w:lineRule="exact"/>
              <w:ind w:left="14" w:right="394" w:firstLine="5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Требования к Заемщику</w:t>
            </w:r>
          </w:p>
        </w:tc>
        <w:tc>
          <w:tcPr>
            <w:tcW w:w="1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tabs>
                <w:tab w:val="left" w:pos="509"/>
              </w:tabs>
              <w:spacing w:line="274" w:lineRule="exact"/>
              <w:ind w:left="34" w:right="67"/>
            </w:pPr>
            <w:r>
              <w:rPr>
                <w:spacing w:val="-22"/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Критерии отбора (стоп-факторы, риск-факторы, финансовые и нефинансовые требования), установленные АО</w:t>
            </w:r>
            <w:r>
              <w:rPr>
                <w:rFonts w:eastAsia="Times New Roman"/>
                <w:sz w:val="24"/>
                <w:szCs w:val="24"/>
              </w:rPr>
              <w:br/>
              <w:t>«МСП Банк»;</w:t>
            </w:r>
          </w:p>
          <w:p w:rsidR="00130216" w:rsidRDefault="00130216">
            <w:pPr>
              <w:shd w:val="clear" w:color="auto" w:fill="FFFFFF"/>
              <w:tabs>
                <w:tab w:val="left" w:pos="509"/>
              </w:tabs>
              <w:spacing w:line="274" w:lineRule="exact"/>
              <w:ind w:left="34"/>
            </w:pPr>
            <w:r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Срок деятельности Субъекта МСП - не менее 6 месяцев;</w:t>
            </w:r>
          </w:p>
          <w:p w:rsidR="00130216" w:rsidRDefault="00130216">
            <w:pPr>
              <w:shd w:val="clear" w:color="auto" w:fill="FFFFFF"/>
              <w:tabs>
                <w:tab w:val="left" w:pos="509"/>
              </w:tabs>
              <w:spacing w:line="274" w:lineRule="exact"/>
              <w:ind w:left="34"/>
            </w:pPr>
            <w:r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Регистрация на портале «Бизнес - навигатор МСП»;</w:t>
            </w:r>
          </w:p>
          <w:p w:rsidR="00130216" w:rsidRDefault="00130216">
            <w:pPr>
              <w:shd w:val="clear" w:color="auto" w:fill="FFFFFF"/>
              <w:tabs>
                <w:tab w:val="left" w:pos="509"/>
              </w:tabs>
              <w:spacing w:line="274" w:lineRule="exact"/>
              <w:ind w:left="34" w:right="67"/>
            </w:pPr>
            <w:r>
              <w:rPr>
                <w:spacing w:val="-7"/>
                <w:sz w:val="24"/>
                <w:szCs w:val="24"/>
              </w:rPr>
              <w:t>4)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Заемщик зарегистрирован на территории моногорода и/или осуществляет предпринимательскую деятельность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на территории моногорода.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3062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8" w:lineRule="exact"/>
              <w:ind w:left="19" w:right="499"/>
            </w:pPr>
            <w:r>
              <w:rPr>
                <w:rFonts w:eastAsia="Times New Roman"/>
                <w:sz w:val="24"/>
                <w:szCs w:val="24"/>
              </w:rPr>
              <w:t>Цель кредитования</w:t>
            </w:r>
          </w:p>
        </w:tc>
        <w:tc>
          <w:tcPr>
            <w:tcW w:w="1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 организацию и (или) развитие бизнеса на территории моногородов, в том числе на:</w:t>
            </w:r>
          </w:p>
          <w:p w:rsidR="00130216" w:rsidRDefault="00130216">
            <w:pPr>
              <w:shd w:val="clear" w:color="auto" w:fill="FFFFFF"/>
              <w:tabs>
                <w:tab w:val="left" w:pos="374"/>
              </w:tabs>
              <w:spacing w:line="317" w:lineRule="exact"/>
              <w:ind w:right="19" w:firstLine="19"/>
            </w:pPr>
            <w:r>
              <w:rPr>
                <w:spacing w:val="-22"/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пополнение оборотных средств, финансирование текущей деятельности  (включая выплату заработной платы и</w:t>
            </w:r>
            <w:r>
              <w:rPr>
                <w:rFonts w:eastAsia="Times New Roman"/>
                <w:sz w:val="24"/>
                <w:szCs w:val="24"/>
              </w:rPr>
              <w:br/>
              <w:t>пр. платежи, за исключением уплаты налогов и сборов).</w:t>
            </w:r>
          </w:p>
          <w:p w:rsidR="00130216" w:rsidRDefault="00130216">
            <w:pPr>
              <w:shd w:val="clear" w:color="auto" w:fill="FFFFFF"/>
              <w:spacing w:line="274" w:lineRule="exact"/>
              <w:ind w:left="5" w:right="19" w:hanging="1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Допускаются страховые взносы (в Пенсионный фонд России, фонд социального страхования, фонд медицинского </w:t>
            </w:r>
            <w:r>
              <w:rPr>
                <w:rFonts w:eastAsia="Times New Roman"/>
                <w:sz w:val="24"/>
                <w:szCs w:val="24"/>
              </w:rPr>
              <w:t>страхования), налог с зарплаты (НДФЛ).</w:t>
            </w:r>
          </w:p>
          <w:p w:rsidR="00130216" w:rsidRDefault="00130216">
            <w:pPr>
              <w:shd w:val="clear" w:color="auto" w:fill="FFFFFF"/>
              <w:tabs>
                <w:tab w:val="left" w:pos="374"/>
              </w:tabs>
              <w:spacing w:line="274" w:lineRule="exact"/>
            </w:pPr>
            <w:r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финансирование инвестиций:</w:t>
            </w:r>
          </w:p>
          <w:p w:rsidR="00130216" w:rsidRDefault="00130216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приобретение, реконструкция, модернизация, ремонт основных средств;</w:t>
            </w:r>
          </w:p>
          <w:p w:rsidR="00130216" w:rsidRDefault="00130216">
            <w:pPr>
              <w:shd w:val="clear" w:color="auto" w:fill="FFFFFF"/>
              <w:spacing w:line="274" w:lineRule="exact"/>
              <w:ind w:right="19" w:firstLine="173"/>
            </w:pPr>
            <w:r>
              <w:rPr>
                <w:rFonts w:eastAsia="Times New Roman"/>
                <w:sz w:val="24"/>
                <w:szCs w:val="24"/>
              </w:rPr>
              <w:t>Средства могут быть направлены на приобретение основных средств (не менее 70% от совокупной величины кредита) и на покрытие текущих расходов, в т.ч. финансирование оборотного капитала (не более 30% от величины</w:t>
            </w:r>
          </w:p>
        </w:tc>
      </w:tr>
    </w:tbl>
    <w:p w:rsidR="00130216" w:rsidRDefault="00130216">
      <w:pPr>
        <w:shd w:val="clear" w:color="auto" w:fill="FFFFFF"/>
        <w:spacing w:before="470" w:line="226" w:lineRule="exact"/>
        <w:ind w:left="163" w:firstLine="125"/>
        <w:jc w:val="both"/>
      </w:pPr>
      <w:r>
        <w:rPr>
          <w:rFonts w:eastAsia="Times New Roman"/>
        </w:rPr>
        <w:t>Цель, указанная в кредитном договоре, должна содержать указания: направлений расходования денежных средств, а также, что денежные средства используются на цели развития моногородов. Расшифровка оборотных активов, подлежащих приобретению, и/или детализация статей текущих расходов, планируемых к финансированию, должна быть указана в Заявлении на предоставление кредита.</w:t>
      </w:r>
    </w:p>
    <w:p w:rsidR="00130216" w:rsidRDefault="00130216">
      <w:pPr>
        <w:shd w:val="clear" w:color="auto" w:fill="FFFFFF"/>
        <w:spacing w:before="470" w:line="226" w:lineRule="exact"/>
        <w:ind w:left="163" w:firstLine="125"/>
        <w:jc w:val="both"/>
        <w:sectPr w:rsidR="00130216">
          <w:pgSz w:w="16834" w:h="11909" w:orient="landscape"/>
          <w:pgMar w:top="864" w:right="1064" w:bottom="360" w:left="106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12192"/>
      </w:tblGrid>
      <w:tr w:rsidR="00130216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</w:pPr>
          </w:p>
        </w:tc>
        <w:tc>
          <w:tcPr>
            <w:tcW w:w="1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кредита);</w:t>
            </w:r>
          </w:p>
          <w:p w:rsidR="00130216" w:rsidRDefault="00130216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строительство зданий и сооружений производственного назначения.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Источник</w:t>
            </w:r>
          </w:p>
          <w:p w:rsidR="00130216" w:rsidRDefault="00130216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возвратности</w:t>
            </w:r>
          </w:p>
          <w:p w:rsidR="00130216" w:rsidRDefault="00130216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кредита</w:t>
            </w:r>
          </w:p>
        </w:tc>
        <w:tc>
          <w:tcPr>
            <w:tcW w:w="1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tabs>
                <w:tab w:val="left" w:pos="360"/>
              </w:tabs>
              <w:spacing w:line="274" w:lineRule="exact"/>
              <w:ind w:right="34" w:firstLine="14"/>
            </w:pPr>
            <w:r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 кредитовании на оборотные цели: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Доходы от текущей деятельности.</w:t>
            </w:r>
          </w:p>
          <w:p w:rsidR="00130216" w:rsidRDefault="00130216">
            <w:pPr>
              <w:shd w:val="clear" w:color="auto" w:fill="FFFFFF"/>
              <w:tabs>
                <w:tab w:val="left" w:pos="360"/>
              </w:tabs>
              <w:spacing w:line="274" w:lineRule="exact"/>
            </w:pPr>
            <w:r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 кредитовании на инвестиционные цели:</w:t>
            </w:r>
          </w:p>
          <w:p w:rsidR="00130216" w:rsidRDefault="00130216">
            <w:pPr>
              <w:shd w:val="clear" w:color="auto" w:fill="FFFFFF"/>
              <w:spacing w:line="274" w:lineRule="exact"/>
              <w:ind w:left="5" w:right="34" w:hanging="10"/>
            </w:pPr>
            <w:r>
              <w:rPr>
                <w:rFonts w:eastAsia="Times New Roman"/>
                <w:sz w:val="24"/>
                <w:szCs w:val="24"/>
              </w:rPr>
              <w:t>Доходы, формируемые от текущей деятельности и/или доходы, формируемые от результата осуществляемых инвестиций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  <w:ind w:left="5" w:right="797"/>
            </w:pPr>
            <w:r>
              <w:rPr>
                <w:rFonts w:eastAsia="Times New Roman"/>
                <w:sz w:val="24"/>
                <w:szCs w:val="24"/>
              </w:rPr>
              <w:t>Досрочное погашение транша</w:t>
            </w:r>
          </w:p>
        </w:tc>
        <w:tc>
          <w:tcPr>
            <w:tcW w:w="1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Возможно в любое время без уплаты комиссий.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Случаи</w:t>
            </w:r>
          </w:p>
          <w:p w:rsidR="00130216" w:rsidRDefault="00130216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прекращения</w:t>
            </w:r>
          </w:p>
          <w:p w:rsidR="00130216" w:rsidRDefault="00130216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  <w:p w:rsidR="00130216" w:rsidRDefault="00130216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кредитного</w:t>
            </w:r>
          </w:p>
          <w:p w:rsidR="00130216" w:rsidRDefault="00130216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договора</w:t>
            </w:r>
          </w:p>
        </w:tc>
        <w:tc>
          <w:tcPr>
            <w:tcW w:w="1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  <w:ind w:left="5" w:right="24" w:hanging="10"/>
            </w:pPr>
            <w:r>
              <w:rPr>
                <w:rFonts w:eastAsia="Times New Roman"/>
                <w:sz w:val="24"/>
                <w:szCs w:val="24"/>
              </w:rPr>
              <w:t>Действие кредитного договора прекращается в случае непредставления Заявления на Предоставление Кредита в течение 60 дней с даты подписания кредитного договора либо в дату окончания периода доступности кредитной линии (в зависимости от того, какая дата наступит ранее).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ind w:left="19"/>
            </w:pPr>
            <w:r>
              <w:rPr>
                <w:rFonts w:eastAsia="Times New Roman"/>
                <w:spacing w:val="-3"/>
                <w:sz w:val="24"/>
                <w:szCs w:val="24"/>
              </w:rPr>
              <w:t>Форма кредита</w:t>
            </w:r>
          </w:p>
        </w:tc>
        <w:tc>
          <w:tcPr>
            <w:tcW w:w="1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Кредит,</w:t>
            </w:r>
          </w:p>
          <w:p w:rsidR="00130216" w:rsidRDefault="00130216">
            <w:pPr>
              <w:shd w:val="clear" w:color="auto" w:fill="FFFFFF"/>
              <w:spacing w:line="274" w:lineRule="exact"/>
              <w:ind w:left="5" w:right="2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Кредитная линия с лимитом выдачи, 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{не применяется по суммам от 0,1 млн. руб. до 3 млн. руб. включительно) </w:t>
            </w:r>
            <w:r>
              <w:rPr>
                <w:rFonts w:eastAsia="Times New Roman"/>
                <w:sz w:val="24"/>
                <w:szCs w:val="24"/>
              </w:rPr>
              <w:t xml:space="preserve">Кредитная линия с лимитом задолженности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(применяется только на оборотные цели, не применяется по суммам от 0,1 млн. руб. до 3 млн. руб. включительно)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ind w:left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Валюта кредита</w:t>
            </w:r>
          </w:p>
        </w:tc>
        <w:tc>
          <w:tcPr>
            <w:tcW w:w="1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Рубли РФ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ind w:left="14"/>
            </w:pPr>
            <w:r>
              <w:rPr>
                <w:rFonts w:eastAsia="Times New Roman"/>
                <w:spacing w:val="-6"/>
                <w:sz w:val="24"/>
                <w:szCs w:val="24"/>
              </w:rPr>
              <w:t>Сумма кредита</w:t>
            </w:r>
            <w:r>
              <w:rPr>
                <w:rFonts w:eastAsia="Times New Roman"/>
                <w:spacing w:val="-6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tabs>
                <w:tab w:val="left" w:pos="365"/>
              </w:tabs>
              <w:spacing w:line="274" w:lineRule="exact"/>
            </w:pPr>
            <w:r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 кредитовании на оборотные цели:</w:t>
            </w:r>
          </w:p>
          <w:p w:rsidR="00130216" w:rsidRDefault="0013021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 xml:space="preserve">0,1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млн. руб. </w:t>
            </w:r>
            <w:r>
              <w:rPr>
                <w:rFonts w:eastAsia="Times New Roman"/>
                <w:sz w:val="24"/>
                <w:szCs w:val="24"/>
              </w:rPr>
              <w:t xml:space="preserve">до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100 млн. руб. </w:t>
            </w:r>
            <w:r>
              <w:rPr>
                <w:rFonts w:eastAsia="Times New Roman"/>
                <w:sz w:val="24"/>
                <w:szCs w:val="24"/>
              </w:rPr>
              <w:t>(включительно)</w:t>
            </w:r>
          </w:p>
          <w:p w:rsidR="00130216" w:rsidRDefault="00130216">
            <w:pPr>
              <w:shd w:val="clear" w:color="auto" w:fill="FFFFFF"/>
              <w:tabs>
                <w:tab w:val="left" w:pos="365"/>
              </w:tabs>
              <w:spacing w:line="274" w:lineRule="exact"/>
              <w:ind w:left="5" w:right="6883" w:hanging="5"/>
            </w:pPr>
            <w:r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 кредитовании на инвестиционные цели: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млн. руб. до 250 млн. руб. </w:t>
            </w:r>
            <w:r>
              <w:rPr>
                <w:rFonts w:eastAsia="Times New Roman"/>
                <w:sz w:val="24"/>
                <w:szCs w:val="24"/>
              </w:rPr>
              <w:t>(включительно)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8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Срок действия</w:t>
            </w:r>
          </w:p>
          <w:p w:rsidR="00130216" w:rsidRDefault="00130216">
            <w:pPr>
              <w:shd w:val="clear" w:color="auto" w:fill="FFFFFF"/>
              <w:spacing w:line="278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кредитного</w:t>
            </w:r>
          </w:p>
          <w:p w:rsidR="00130216" w:rsidRDefault="00130216">
            <w:pPr>
              <w:shd w:val="clear" w:color="auto" w:fill="FFFFFF"/>
              <w:spacing w:line="278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договора</w:t>
            </w:r>
          </w:p>
        </w:tc>
        <w:tc>
          <w:tcPr>
            <w:tcW w:w="1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tabs>
                <w:tab w:val="left" w:pos="360"/>
              </w:tabs>
              <w:spacing w:line="274" w:lineRule="exact"/>
            </w:pPr>
            <w:r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 кредитовании на оборотные цели:</w:t>
            </w:r>
          </w:p>
          <w:p w:rsidR="00130216" w:rsidRDefault="0013021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от 0,1 млн. руб. до </w:t>
            </w:r>
            <w:r>
              <w:rPr>
                <w:rFonts w:eastAsia="Times New Roman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млн. руб. </w:t>
            </w:r>
            <w:r>
              <w:rPr>
                <w:rFonts w:eastAsia="Times New Roman"/>
                <w:sz w:val="24"/>
                <w:szCs w:val="24"/>
              </w:rPr>
              <w:t xml:space="preserve">включительно -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не более 12 месяцев </w:t>
            </w:r>
            <w:r>
              <w:rPr>
                <w:rFonts w:eastAsia="Times New Roman"/>
                <w:sz w:val="24"/>
                <w:szCs w:val="24"/>
              </w:rPr>
              <w:t>с даты заключения кредитного договора</w:t>
            </w:r>
          </w:p>
          <w:p w:rsidR="00130216" w:rsidRDefault="0013021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от 3 млн. рублей до 100 млн. руб. </w:t>
            </w:r>
            <w:r>
              <w:rPr>
                <w:rFonts w:eastAsia="Times New Roman"/>
                <w:sz w:val="24"/>
                <w:szCs w:val="24"/>
              </w:rPr>
              <w:t xml:space="preserve">(включительно) -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не более 36 месяцев </w:t>
            </w:r>
            <w:r>
              <w:rPr>
                <w:rFonts w:eastAsia="Times New Roman"/>
                <w:sz w:val="24"/>
                <w:szCs w:val="24"/>
              </w:rPr>
              <w:t>с даты заключения кредитного договора.</w:t>
            </w:r>
          </w:p>
          <w:p w:rsidR="00130216" w:rsidRDefault="00130216">
            <w:pPr>
              <w:shd w:val="clear" w:color="auto" w:fill="FFFFFF"/>
              <w:tabs>
                <w:tab w:val="left" w:pos="360"/>
              </w:tabs>
              <w:spacing w:line="274" w:lineRule="exact"/>
            </w:pPr>
            <w:r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 кредитовании на инвестиционные цели:</w:t>
            </w:r>
          </w:p>
          <w:p w:rsidR="00130216" w:rsidRDefault="0013021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не более 84 месяца </w:t>
            </w:r>
            <w:r>
              <w:rPr>
                <w:rFonts w:eastAsia="Times New Roman"/>
                <w:sz w:val="24"/>
                <w:szCs w:val="24"/>
              </w:rPr>
              <w:t>с даты заключения кредитного договора.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ind w:left="14"/>
            </w:pPr>
            <w:r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>Срок получения</w:t>
            </w:r>
          </w:p>
        </w:tc>
        <w:tc>
          <w:tcPr>
            <w:tcW w:w="1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Кредит: </w:t>
            </w:r>
            <w:r>
              <w:rPr>
                <w:rFonts w:eastAsia="Times New Roman"/>
                <w:sz w:val="24"/>
                <w:szCs w:val="24"/>
              </w:rPr>
              <w:t>в течение 60 дней с даты заключения кредитного договора</w:t>
            </w:r>
          </w:p>
        </w:tc>
      </w:tr>
    </w:tbl>
    <w:p w:rsidR="00130216" w:rsidRDefault="00130216">
      <w:pPr>
        <w:shd w:val="clear" w:color="auto" w:fill="FFFFFF"/>
        <w:spacing w:before="298"/>
        <w:ind w:left="158"/>
      </w:pPr>
      <w:r>
        <w:rPr>
          <w:vertAlign w:val="superscript"/>
        </w:rPr>
        <w:t>2</w:t>
      </w:r>
      <w:r>
        <w:t xml:space="preserve"> </w:t>
      </w:r>
      <w:r>
        <w:rPr>
          <w:rFonts w:eastAsia="Times New Roman"/>
          <w:spacing w:val="-1"/>
        </w:rPr>
        <w:t>Максимальный размер по всем видам поддержки, оказываемой АО «МСП Банк» Субъекту МСП, не должен превышать 1000 млн. руб.</w:t>
      </w:r>
    </w:p>
    <w:p w:rsidR="00130216" w:rsidRDefault="00130216">
      <w:pPr>
        <w:shd w:val="clear" w:color="auto" w:fill="FFFFFF"/>
        <w:spacing w:before="298"/>
        <w:ind w:left="158"/>
        <w:sectPr w:rsidR="00130216">
          <w:pgSz w:w="16834" w:h="11909" w:orient="landscape"/>
          <w:pgMar w:top="859" w:right="1256" w:bottom="360" w:left="125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12202"/>
      </w:tblGrid>
      <w:tr w:rsidR="0013021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  <w:ind w:left="5" w:right="139" w:firstLine="5"/>
            </w:pP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lastRenderedPageBreak/>
              <w:t xml:space="preserve">кредита/Период </w:t>
            </w:r>
            <w:r>
              <w:rPr>
                <w:rFonts w:eastAsia="Times New Roman"/>
                <w:sz w:val="24"/>
                <w:szCs w:val="24"/>
              </w:rPr>
              <w:t xml:space="preserve">доступности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кредитной линии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  <w:ind w:left="10" w:right="130" w:hanging="10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Кредитная линия с лимитом выдачи: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не более 180 дней (включительно) с даты заключения кредитного договора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Кредитная линия с лимитом задолженности: </w:t>
            </w:r>
            <w:r>
              <w:rPr>
                <w:rFonts w:eastAsia="Times New Roman"/>
                <w:sz w:val="24"/>
                <w:szCs w:val="24"/>
              </w:rPr>
              <w:t>срок действия кредитного договора, уменьшенный на 180 дней.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607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  <w:ind w:left="10" w:right="58" w:firstLine="5"/>
            </w:pPr>
            <w:r>
              <w:rPr>
                <w:rFonts w:eastAsia="Times New Roman"/>
                <w:sz w:val="24"/>
                <w:szCs w:val="24"/>
              </w:rPr>
              <w:t xml:space="preserve">Порядок погашения кредита/Срок </w:t>
            </w:r>
            <w:r>
              <w:rPr>
                <w:rFonts w:eastAsia="Times New Roman"/>
                <w:i/>
                <w:iCs/>
                <w:spacing w:val="-3"/>
                <w:sz w:val="24"/>
                <w:szCs w:val="24"/>
              </w:rPr>
              <w:t>возврата транша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Кредит:</w:t>
            </w:r>
          </w:p>
          <w:p w:rsidR="00130216" w:rsidRDefault="00130216">
            <w:pPr>
              <w:shd w:val="clear" w:color="auto" w:fill="FFFFFF"/>
              <w:tabs>
                <w:tab w:val="left" w:pos="355"/>
              </w:tabs>
              <w:spacing w:line="274" w:lineRule="exact"/>
              <w:ind w:right="19" w:firstLine="14"/>
            </w:pPr>
            <w:r>
              <w:rPr>
                <w:spacing w:val="-21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Ежемесячно, равномерное погашение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, начиная с месяца, следующего за месяцем в котором закончился Срок</w:t>
            </w:r>
            <w:r>
              <w:rPr>
                <w:rFonts w:eastAsia="Times New Roman"/>
                <w:sz w:val="24"/>
                <w:szCs w:val="24"/>
              </w:rPr>
              <w:br/>
              <w:t>получения кредита.</w:t>
            </w:r>
          </w:p>
          <w:p w:rsidR="00130216" w:rsidRDefault="00130216">
            <w:pPr>
              <w:shd w:val="clear" w:color="auto" w:fill="FFFFFF"/>
              <w:tabs>
                <w:tab w:val="left" w:pos="355"/>
              </w:tabs>
              <w:spacing w:line="274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График погашения фиксируется при подписании кредитного договора.</w:t>
            </w:r>
          </w:p>
          <w:p w:rsidR="00130216" w:rsidRDefault="00130216">
            <w:pPr>
              <w:shd w:val="clear" w:color="auto" w:fill="FFFFFF"/>
              <w:tabs>
                <w:tab w:val="left" w:pos="418"/>
              </w:tabs>
              <w:spacing w:line="274" w:lineRule="exact"/>
              <w:ind w:right="19" w:hanging="5"/>
            </w:pPr>
            <w:r>
              <w:rPr>
                <w:spacing w:val="-12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В случае досрочного погашения суммы кредита, включая возврат неиспользованной части кредита, суммы</w:t>
            </w:r>
            <w:r>
              <w:rPr>
                <w:rFonts w:eastAsia="Times New Roman"/>
                <w:sz w:val="24"/>
                <w:szCs w:val="24"/>
              </w:rPr>
              <w:br/>
              <w:t>погашения, установленные графиком погашения кредита пропорционально уменьшаются, начиная с ближайшей</w:t>
            </w:r>
            <w:r>
              <w:rPr>
                <w:rFonts w:eastAsia="Times New Roman"/>
                <w:sz w:val="24"/>
                <w:szCs w:val="24"/>
              </w:rPr>
              <w:br/>
              <w:t>даты погашения кредита, при этом даты погашения кредита остаются без изменения</w:t>
            </w:r>
          </w:p>
          <w:p w:rsidR="00130216" w:rsidRDefault="0013021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Кредитная линия с лимитом выдачи:</w:t>
            </w:r>
          </w:p>
          <w:p w:rsidR="00130216" w:rsidRDefault="00130216">
            <w:pPr>
              <w:shd w:val="clear" w:color="auto" w:fill="FFFFFF"/>
              <w:tabs>
                <w:tab w:val="left" w:pos="370"/>
              </w:tabs>
              <w:spacing w:line="274" w:lineRule="exact"/>
              <w:ind w:right="19" w:firstLine="14"/>
            </w:pPr>
            <w:r>
              <w:rPr>
                <w:b/>
                <w:bCs/>
                <w:spacing w:val="-24"/>
                <w:sz w:val="24"/>
                <w:szCs w:val="24"/>
              </w:rPr>
              <w:t>1</w:t>
            </w:r>
            <w:r>
              <w:rPr>
                <w:spacing w:val="-24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График погашения рассчитывается с учетом размера установленного лимита выдачи, который фиксируется при</w:t>
            </w:r>
            <w:r>
              <w:rPr>
                <w:rFonts w:eastAsia="Times New Roman"/>
                <w:sz w:val="24"/>
                <w:szCs w:val="24"/>
              </w:rPr>
              <w:br/>
              <w:t>подписании кредитного договора.</w:t>
            </w:r>
          </w:p>
          <w:p w:rsidR="00130216" w:rsidRDefault="00130216">
            <w:pPr>
              <w:shd w:val="clear" w:color="auto" w:fill="FFFFFF"/>
              <w:tabs>
                <w:tab w:val="left" w:pos="370"/>
              </w:tabs>
              <w:spacing w:line="274" w:lineRule="exact"/>
              <w:ind w:right="19" w:hanging="5"/>
            </w:pPr>
            <w:r>
              <w:rPr>
                <w:spacing w:val="-12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Ежемесячно, равномерное погашение кредита по истечение Периода доступности кредитной линии, начиная с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месяца, следующего за месяцем, в котором закончился Период доступности кредитной линии.</w:t>
            </w:r>
          </w:p>
          <w:p w:rsidR="00130216" w:rsidRDefault="00130216">
            <w:pPr>
              <w:shd w:val="clear" w:color="auto" w:fill="FFFFFF"/>
              <w:tabs>
                <w:tab w:val="left" w:pos="370"/>
              </w:tabs>
              <w:spacing w:line="274" w:lineRule="exact"/>
              <w:ind w:right="19"/>
            </w:pPr>
            <w:r>
              <w:rPr>
                <w:spacing w:val="-14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В случае досрочного погашения суммы кредита, включая возврат неиспользованной части кредита, а также если</w:t>
            </w:r>
            <w:r>
              <w:rPr>
                <w:rFonts w:eastAsia="Times New Roman"/>
                <w:sz w:val="24"/>
                <w:szCs w:val="24"/>
              </w:rPr>
              <w:br/>
              <w:t>по истечении Периода доступности кредитной линии была получена сумма кредита менее установленного размера</w:t>
            </w:r>
            <w:r>
              <w:rPr>
                <w:rFonts w:eastAsia="Times New Roman"/>
                <w:sz w:val="24"/>
                <w:szCs w:val="24"/>
              </w:rPr>
              <w:br/>
              <w:t>лимита выдачи, суммы погашения, установленные графиком погашения кредита пропорционально уменьшаются,</w:t>
            </w:r>
            <w:r>
              <w:rPr>
                <w:rFonts w:eastAsia="Times New Roman"/>
                <w:sz w:val="24"/>
                <w:szCs w:val="24"/>
              </w:rPr>
              <w:br/>
              <w:t>начиная с ближайшей даты погашения кредита, при этом даты погашения кредита остаются без изменения.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Кредитная линия с лимитом задолженности:</w:t>
            </w:r>
          </w:p>
          <w:p w:rsidR="00130216" w:rsidRDefault="00130216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Срок возврата каждого транша составляет:</w:t>
            </w:r>
          </w:p>
          <w:p w:rsidR="00130216" w:rsidRDefault="00130216">
            <w:pPr>
              <w:shd w:val="clear" w:color="auto" w:fill="FFFFFF"/>
              <w:spacing w:line="274" w:lineRule="exact"/>
              <w:ind w:right="19"/>
            </w:pPr>
            <w:r>
              <w:rPr>
                <w:sz w:val="24"/>
                <w:szCs w:val="24"/>
              </w:rPr>
              <w:t xml:space="preserve">- 180 </w:t>
            </w:r>
            <w:r>
              <w:rPr>
                <w:rFonts w:eastAsia="Times New Roman"/>
                <w:sz w:val="24"/>
                <w:szCs w:val="24"/>
              </w:rPr>
              <w:t xml:space="preserve">дней с даты его выдачи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(применяется только при кредитовании на оборотные цели до 25 млн. руб.). 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от 31 до 180 дней с даты его выдачи (устанавливается индивидуально) </w:t>
            </w:r>
            <w:r>
              <w:rPr>
                <w:rFonts w:eastAsia="Times New Roman"/>
                <w:i/>
                <w:iCs/>
                <w:spacing w:val="-1"/>
                <w:sz w:val="24"/>
                <w:szCs w:val="24"/>
              </w:rPr>
              <w:t xml:space="preserve">(применяется только при кредитовании на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оборотные цели от 25 млн. руб.)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271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  <w:ind w:left="14" w:right="43"/>
            </w:pPr>
            <w:r>
              <w:rPr>
                <w:rFonts w:eastAsia="Times New Roman"/>
                <w:sz w:val="24"/>
                <w:szCs w:val="24"/>
              </w:rPr>
              <w:t xml:space="preserve">Размер процентной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ставки по кредиту</w:t>
            </w:r>
          </w:p>
        </w:tc>
        <w:tc>
          <w:tcPr>
            <w:tcW w:w="1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 кредитовании на оборотные цели:</w:t>
            </w:r>
          </w:p>
          <w:p w:rsidR="00130216" w:rsidRDefault="00130216">
            <w:pPr>
              <w:shd w:val="clear" w:color="auto" w:fill="FFFFFF"/>
              <w:spacing w:line="278" w:lineRule="exact"/>
              <w:ind w:right="24" w:hanging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от 0,1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млн. руб. до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млн. руб.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включительно - в соответствии с Системой ценообразования, используемой при </w:t>
            </w:r>
            <w:r>
              <w:rPr>
                <w:rFonts w:eastAsia="Times New Roman"/>
                <w:sz w:val="24"/>
                <w:szCs w:val="24"/>
              </w:rPr>
              <w:t>разработке и актуализации продуктов прямого кредитования для сегмента «Рынок»</w:t>
            </w:r>
          </w:p>
          <w:p w:rsidR="00130216" w:rsidRDefault="00130216">
            <w:pPr>
              <w:shd w:val="clear" w:color="auto" w:fill="FFFFFF"/>
              <w:spacing w:line="278" w:lineRule="exact"/>
              <w:ind w:right="24" w:hanging="5"/>
            </w:pPr>
            <w:r>
              <w:rPr>
                <w:rFonts w:eastAsia="Times New Roman"/>
                <w:sz w:val="24"/>
                <w:szCs w:val="24"/>
              </w:rPr>
              <w:t xml:space="preserve">от 3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млн. рублей до 100 млн. руб. </w:t>
            </w:r>
            <w:r>
              <w:rPr>
                <w:rFonts w:eastAsia="Times New Roman"/>
                <w:sz w:val="24"/>
                <w:szCs w:val="24"/>
              </w:rPr>
              <w:t xml:space="preserve">(включительно) - в соответствии с Системой ценообразования, используемой при разработке и актуализации продуктов прямого кредитования для сегмента «Приоритеты»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При кредитовании на инвестиционные цели:</w:t>
            </w:r>
          </w:p>
          <w:p w:rsidR="00130216" w:rsidRDefault="00130216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соответствии с Системой ценообразования, используемой при разработке и актуализации продуктов прямого</w:t>
            </w:r>
          </w:p>
        </w:tc>
      </w:tr>
    </w:tbl>
    <w:p w:rsidR="00130216" w:rsidRDefault="00130216">
      <w:pPr>
        <w:shd w:val="clear" w:color="auto" w:fill="FFFFFF"/>
        <w:spacing w:before="331"/>
        <w:ind w:left="163"/>
      </w:pPr>
      <w:r>
        <w:rPr>
          <w:vertAlign w:val="superscript"/>
        </w:rPr>
        <w:t>3</w:t>
      </w:r>
      <w:r>
        <w:t xml:space="preserve"> </w:t>
      </w:r>
      <w:r>
        <w:rPr>
          <w:rFonts w:eastAsia="Times New Roman"/>
          <w:spacing w:val="-2"/>
        </w:rPr>
        <w:t>Погашение кредита равными долями от суммы основного долга.</w:t>
      </w:r>
    </w:p>
    <w:p w:rsidR="00130216" w:rsidRDefault="00130216">
      <w:pPr>
        <w:shd w:val="clear" w:color="auto" w:fill="FFFFFF"/>
        <w:spacing w:before="331"/>
        <w:ind w:left="163"/>
        <w:sectPr w:rsidR="00130216">
          <w:pgSz w:w="16834" w:h="11909" w:orient="landscape"/>
          <w:pgMar w:top="859" w:right="1250" w:bottom="360" w:left="1250" w:header="720" w:footer="720" w:gutter="0"/>
          <w:cols w:space="60"/>
          <w:noEndnote/>
        </w:sectPr>
      </w:pPr>
    </w:p>
    <w:p w:rsidR="00130216" w:rsidRDefault="004406E0">
      <w:pPr>
        <w:shd w:val="clear" w:color="auto" w:fill="FFFFFF"/>
        <w:spacing w:after="278"/>
        <w:ind w:left="212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-6350</wp:posOffset>
                </wp:positionV>
                <wp:extent cx="0" cy="635190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DB0A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pt,-.5pt" to="-6pt,4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x5DgIAACg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EkdKYzrgCHtdrbUBu9qBez0/S7Q0qvG6KOPDJ8vRoIy0JE8hASNs4A/qH7rBn4kJPXsU2X&#10;2rYBEhqALnEa1/s0+MUj2h9SOJ09TbNFOo3opLgFGuv8J65bFIwSS+Acgcl553wgQoqbS8ij9FZI&#10;GYctFeoiahoDnJaChcvg5uzxsJYWnUmQS/yGvA9uVp8Ui2ANJ2wz2J4I2duQXKqAB6UAncHq9fBj&#10;kS428808H+WT2WaUp1U1+rhd56PZNvswrZ6q9brKfgZqWV40gjGuArubNrP872Y/vJJeVXd13tuQ&#10;PKLHfgHZ2z+SjrMM4+uFcNDsure3GYMco/PwdILe3+7BfvvAV78AAAD//wMAUEsDBBQABgAIAAAA&#10;IQA0vGJm3AAAAAoBAAAPAAAAZHJzL2Rvd25yZXYueG1sTI/NTsMwEITvSLyDtUjcWidFQSTEqRBS&#10;EBcOtIizG7tJVHsd2ds48PS44gCn/RvNflNvF2vYrH0YHQrI1xkwjZ1TI/YCPvbt6gFYIIlKGoda&#10;wJcOsG2ur2pZKRfxXc876lkywVBJAQPRVHEeukFbGdZu0phuR+etpDT6nisvYzK3hm+y7J5bOWL6&#10;MMhJPw+6O+3OVgDm9GlipDj77+KlyIv2NXtrhbi9WZ4egZFe6E8MF/yEDk1iOrgzqsCMgFW+SVno&#10;0qSaBL+Lg4CyLO+ANzX/H6H5AQAA//8DAFBLAQItABQABgAIAAAAIQC2gziS/gAAAOEBAAATAAAA&#10;AAAAAAAAAAAAAAAAAABbQ29udGVudF9UeXBlc10ueG1sUEsBAi0AFAAGAAgAAAAhADj9If/WAAAA&#10;lAEAAAsAAAAAAAAAAAAAAAAALwEAAF9yZWxzLy5yZWxzUEsBAi0AFAAGAAgAAAAhAJAjHHkOAgAA&#10;KAQAAA4AAAAAAAAAAAAAAAAALgIAAGRycy9lMm9Eb2MueG1sUEsBAi0AFAAGAAgAAAAhADS8Ymbc&#10;AAAACgEAAA8AAAAAAAAAAAAAAAAAaAQAAGRycy9kb3ducmV2LnhtbFBLBQYAAAAABAAEAPMAAABx&#10;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8991600</wp:posOffset>
                </wp:positionH>
                <wp:positionV relativeFrom="paragraph">
                  <wp:posOffset>-8890</wp:posOffset>
                </wp:positionV>
                <wp:extent cx="0" cy="635190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B623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8pt,-.7pt" to="708pt,4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TzDgIAACg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KkSIt&#10;jOhZKI6moTOdcTk4lGpvQ230ol7Ms6bfHVK6bIg68sjw9WogLAsRyUNI2DgD+Ifus2bgQ05exzZd&#10;atsGSGgAusRpXO/T4BePaH9I4XQxnWerdB7RSX4LNNb5T1y3KBgFlsA5ApPzs/OBCMlvLiGP0jsh&#10;ZRy2VKiLqGkMcFoKFi6Dm7PHQyktOpMgl/gNeR/crD4pFsEaTth2sD0RsrchuVQBD0oBOoPV6+HH&#10;Kl1tl9vlbDSbLLajWVpVo4+7cjZa7LIP82palWWV/QzUslneCMa4Cuxu2sxmfzf74ZX0qrqr896G&#10;5BE99gvI3v6RdJxlGF8vhINm1729zRjkGJ2HpxP0/nYP9tsHvvkFAAD//wMAUEsDBBQABgAIAAAA&#10;IQBbCV9h3gAAAAwBAAAPAAAAZHJzL2Rvd25yZXYueG1sTI/BTsMwEETvSPyDtUjcWseoqZoQp0JI&#10;QVw40CLObrwkEfE6st048PW44gDHmR3Nvqn2ixnZjM4PliSIdQYMqbV6oE7C27FZ7YD5oEir0RJK&#10;+EIP+/r6qlKltpFecT6EjqUS8qWS0IcwlZz7tkej/NpOSOn2YZ1RIUnXce1UTOVm5HdZtuVGDZQ+&#10;9GrCxx7bz8PZSCAR3scYQ5zdd/6Ui7x5zl4aKW9vlod7YAGX8BeGC35ChzoxneyZtGdj0huxTWOC&#10;hJXYALskfp2ThKLYFcDriv8fUf8AAAD//wMAUEsBAi0AFAAGAAgAAAAhALaDOJL+AAAA4QEAABMA&#10;AAAAAAAAAAAAAAAAAAAAAFtDb250ZW50X1R5cGVzXS54bWxQSwECLQAUAAYACAAAACEAOP0h/9YA&#10;AACUAQAACwAAAAAAAAAAAAAAAAAvAQAAX3JlbHMvLnJlbHNQSwECLQAUAAYACAAAACEAagTE8w4C&#10;AAAoBAAADgAAAAAAAAAAAAAAAAAuAgAAZHJzL2Uyb0RvYy54bWxQSwECLQAUAAYACAAAACEAWwlf&#10;Yd4AAAAMAQAADwAAAAAAAAAAAAAAAABoBAAAZHJzL2Rvd25yZXYueG1sUEsFBgAAAAAEAAQA8wAA&#10;AHMFAAAAAA==&#10;" o:allowincell="f" strokeweight=".5pt">
                <w10:wrap anchorx="margin"/>
              </v:line>
            </w:pict>
          </mc:Fallback>
        </mc:AlternateContent>
      </w:r>
      <w:r w:rsidR="00130216">
        <w:rPr>
          <w:rFonts w:eastAsia="Times New Roman"/>
          <w:spacing w:val="-3"/>
          <w:sz w:val="24"/>
          <w:szCs w:val="24"/>
        </w:rPr>
        <w:t>кредитования для сегмента «Приоритеты»</w:t>
      </w:r>
    </w:p>
    <w:p w:rsidR="00130216" w:rsidRDefault="00130216">
      <w:pPr>
        <w:shd w:val="clear" w:color="auto" w:fill="FFFFFF"/>
        <w:spacing w:after="278"/>
        <w:ind w:left="2126"/>
        <w:sectPr w:rsidR="00130216">
          <w:pgSz w:w="16834" w:h="11909" w:orient="landscape"/>
          <w:pgMar w:top="955" w:right="1342" w:bottom="360" w:left="1342" w:header="720" w:footer="720" w:gutter="0"/>
          <w:cols w:space="60"/>
          <w:noEndnote/>
        </w:sectPr>
      </w:pPr>
    </w:p>
    <w:p w:rsidR="00130216" w:rsidRDefault="004406E0">
      <w:pPr>
        <w:shd w:val="clear" w:color="auto" w:fill="FFFFFF"/>
        <w:spacing w:line="27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1271270</wp:posOffset>
                </wp:positionH>
                <wp:positionV relativeFrom="paragraph">
                  <wp:posOffset>-362585</wp:posOffset>
                </wp:positionV>
                <wp:extent cx="0" cy="635190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DF20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0.1pt,-28.55pt" to="100.1pt,4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16DgIAACg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BSJEW&#10;RrQTiqM8dKYzrgCHtdrbUBu9qBez0/S7Q0qvG6KOPDJ8vRoIy0JE8hASNs4A/qH7rBn4kJPXsU2X&#10;2rYBEhqALnEa1/s0+MUj2h9SOJ09TbNFOo3opLgFGuv8J65bFIwSS+Acgcl553wgQoqbS8ij9FZI&#10;GYctFeoiahoDnJaChcvg5uzxsJYWnUmQS/yGvA9uVp8Ui2ANJ2wz2J4I2duQXKqAB6UAncHq9fBj&#10;kS428808H+WT2WaUp1U1+rhd56PZNvswrZ6q9brKfgZqWV40gjGuArubNrP872Y/vJJeVXd13tuQ&#10;PKLHfgHZ2z+SjrMM4+uFcNDsure3GYMco/PwdILe3+7BfvvAV78AAAD//wMAUEsDBBQABgAIAAAA&#10;IQDTVaxp3QAAAAsBAAAPAAAAZHJzL2Rvd25yZXYueG1sTI/BTsMwDIbvSLxDZCRuW9pCGZS6E0Iq&#10;4sJhA+2cNaGtSJwqyZrC0xPEAY62f33+/nq7GM1m5fxoCSFfZ8AUdVaO1CO8vbarW2A+CJJCW1II&#10;n8rDtjk/q0UlbaSdmvehZwlCvhIIQwhTxbnvBmWEX9tJUbq9W2dESKPruXQiJrjRvMiyG27ESOnD&#10;ICb1OKjuY38yCJSHg44xxNl9lU9lXrbP2UuLeHmxPNwDC2oJf2H40U/q0CSnoz2R9EwjJHqRogir&#10;cpMDS4nfzRHh7vqqAN7U/H+H5hsAAP//AwBQSwECLQAUAAYACAAAACEAtoM4kv4AAADhAQAAEwAA&#10;AAAAAAAAAAAAAAAAAAAAW0NvbnRlbnRfVHlwZXNdLnhtbFBLAQItABQABgAIAAAAIQA4/SH/1gAA&#10;AJQBAAALAAAAAAAAAAAAAAAAAC8BAABfcmVscy8ucmVsc1BLAQItABQABgAIAAAAIQAHvp16DgIA&#10;ACgEAAAOAAAAAAAAAAAAAAAAAC4CAABkcnMvZTJvRG9jLnhtbFBLAQItABQABgAIAAAAIQDTVaxp&#10;3QAAAAsBAAAPAAAAAAAAAAAAAAAAAGgEAABkcnMvZG93bnJldi54bWxQSwUGAAAAAAQABADzAAAA&#10;cgUAAAAA&#10;" o:allowincell="f" strokeweight=".5pt">
                <w10:wrap anchorx="margin"/>
              </v:line>
            </w:pict>
          </mc:Fallback>
        </mc:AlternateContent>
      </w:r>
      <w:r w:rsidR="00130216">
        <w:rPr>
          <w:rFonts w:eastAsia="Times New Roman"/>
          <w:spacing w:val="-2"/>
          <w:sz w:val="24"/>
          <w:szCs w:val="24"/>
        </w:rPr>
        <w:t>Порядок</w:t>
      </w:r>
    </w:p>
    <w:p w:rsidR="00130216" w:rsidRDefault="00130216">
      <w:pPr>
        <w:shd w:val="clear" w:color="auto" w:fill="FFFFFF"/>
        <w:spacing w:line="274" w:lineRule="exact"/>
      </w:pPr>
      <w:r>
        <w:rPr>
          <w:rFonts w:eastAsia="Times New Roman"/>
          <w:spacing w:val="-3"/>
          <w:sz w:val="24"/>
          <w:szCs w:val="24"/>
        </w:rPr>
        <w:t>погашения</w:t>
      </w:r>
    </w:p>
    <w:p w:rsidR="00130216" w:rsidRDefault="00130216">
      <w:pPr>
        <w:shd w:val="clear" w:color="auto" w:fill="FFFFFF"/>
        <w:spacing w:line="274" w:lineRule="exact"/>
      </w:pPr>
      <w:r>
        <w:rPr>
          <w:rFonts w:eastAsia="Times New Roman"/>
          <w:spacing w:val="-1"/>
          <w:sz w:val="24"/>
          <w:szCs w:val="24"/>
          <w:u w:val="single"/>
        </w:rPr>
        <w:t>процентов</w:t>
      </w:r>
    </w:p>
    <w:p w:rsidR="00130216" w:rsidRDefault="00130216">
      <w:pPr>
        <w:shd w:val="clear" w:color="auto" w:fill="FFFFFF"/>
        <w:spacing w:before="10"/>
      </w:pPr>
      <w:r>
        <w:rPr>
          <w:rFonts w:eastAsia="Times New Roman"/>
          <w:spacing w:val="-3"/>
          <w:sz w:val="24"/>
          <w:szCs w:val="24"/>
        </w:rPr>
        <w:t>Обеспечение</w:t>
      </w:r>
    </w:p>
    <w:p w:rsidR="00130216" w:rsidRDefault="00130216">
      <w:pPr>
        <w:shd w:val="clear" w:color="auto" w:fill="FFFFFF"/>
        <w:spacing w:before="5"/>
        <w:ind w:left="34"/>
      </w:pPr>
      <w:r>
        <w:br w:type="column"/>
      </w:r>
      <w:r>
        <w:rPr>
          <w:rFonts w:eastAsia="Times New Roman"/>
          <w:spacing w:val="-5"/>
          <w:sz w:val="24"/>
          <w:szCs w:val="24"/>
        </w:rPr>
        <w:t>Ежемесячно</w:t>
      </w:r>
    </w:p>
    <w:p w:rsidR="00130216" w:rsidRDefault="00130216">
      <w:pPr>
        <w:shd w:val="clear" w:color="auto" w:fill="FFFFFF"/>
        <w:spacing w:before="557"/>
        <w:ind w:left="29"/>
      </w:pPr>
      <w:r>
        <w:rPr>
          <w:rFonts w:eastAsia="Times New Roman"/>
          <w:spacing w:val="-1"/>
          <w:sz w:val="24"/>
          <w:szCs w:val="24"/>
        </w:rPr>
        <w:t>Требования к обеспечению кредитных сделок суммами:</w:t>
      </w:r>
    </w:p>
    <w:p w:rsidR="00130216" w:rsidRDefault="00130216">
      <w:pPr>
        <w:shd w:val="clear" w:color="auto" w:fill="FFFFFF"/>
        <w:spacing w:before="274" w:line="274" w:lineRule="exact"/>
        <w:ind w:left="29" w:right="82"/>
        <w:jc w:val="both"/>
      </w:pPr>
      <w:r>
        <w:rPr>
          <w:rFonts w:eastAsia="Times New Roman"/>
          <w:b/>
          <w:bCs/>
          <w:sz w:val="24"/>
          <w:szCs w:val="24"/>
        </w:rPr>
        <w:t xml:space="preserve">от 0,1 млн. руб. </w:t>
      </w:r>
      <w:r>
        <w:rPr>
          <w:rFonts w:eastAsia="Times New Roman"/>
          <w:sz w:val="24"/>
          <w:szCs w:val="24"/>
        </w:rPr>
        <w:t xml:space="preserve">до </w:t>
      </w:r>
      <w:r>
        <w:rPr>
          <w:rFonts w:eastAsia="Times New Roman"/>
          <w:b/>
          <w:bCs/>
          <w:sz w:val="24"/>
          <w:szCs w:val="24"/>
        </w:rPr>
        <w:t xml:space="preserve">3 млн. руб. включительно </w:t>
      </w:r>
      <w:r>
        <w:rPr>
          <w:rFonts w:eastAsia="Times New Roman"/>
          <w:sz w:val="24"/>
          <w:szCs w:val="24"/>
        </w:rPr>
        <w:t>- поручительство бенефициаров (владельцев или акционеров, участников Субъекта МСП, юридических и физических лиц, в совокупности владеющих более 50% капитала Субъекта МСП, которое представляется на весь срок действия кредитного договора по всем денежным обязательствам Субъекта МСП, возникшим из кредитного договора) и компаний входящих в группу (для ИП -близких родственников) на весь срок действия кредитного договора по всем денежным обязательствам Субъекта МСП, возникшим из кредитного договора</w:t>
      </w:r>
    </w:p>
    <w:p w:rsidR="00130216" w:rsidRDefault="00130216">
      <w:pPr>
        <w:shd w:val="clear" w:color="auto" w:fill="FFFFFF"/>
        <w:spacing w:before="269" w:line="274" w:lineRule="exact"/>
        <w:ind w:left="29" w:right="86"/>
        <w:jc w:val="both"/>
      </w:pPr>
      <w:r>
        <w:rPr>
          <w:rFonts w:eastAsia="Times New Roman"/>
          <w:sz w:val="24"/>
          <w:szCs w:val="24"/>
        </w:rPr>
        <w:t>При этом по суммам 0,1 млн. руб. до 3 млн. руб. включительно для субъектов МСП - юридических лиц необходимо дополнительное обеспечение в объеме не менее 70 % от суммы кредита в соответствии с рекомендуемыми видами залогов, указанных в Приложении №2.1 к Положению об организации работы с залоговым обеспечением по сделкам с кредитным риском АО «МСП Банк».</w:t>
      </w:r>
    </w:p>
    <w:p w:rsidR="00130216" w:rsidRDefault="00130216">
      <w:pPr>
        <w:shd w:val="clear" w:color="auto" w:fill="FFFFFF"/>
        <w:spacing w:before="264" w:line="278" w:lineRule="exact"/>
        <w:ind w:left="34" w:right="86"/>
        <w:jc w:val="both"/>
      </w:pPr>
      <w:r>
        <w:rPr>
          <w:rFonts w:eastAsia="Times New Roman"/>
          <w:sz w:val="24"/>
          <w:szCs w:val="24"/>
        </w:rPr>
        <w:t>Требования к обеспечению кредитных сделок суммами от 3 млн. рублей до 10 млн. руб. включительно соответствуют требованиям, определенным в Альбоме правил маршрутизации заявок и принятия решений.</w:t>
      </w:r>
    </w:p>
    <w:p w:rsidR="00130216" w:rsidRDefault="00130216">
      <w:pPr>
        <w:shd w:val="clear" w:color="auto" w:fill="FFFFFF"/>
        <w:spacing w:before="269"/>
        <w:ind w:left="34"/>
      </w:pPr>
      <w:r>
        <w:rPr>
          <w:rFonts w:eastAsia="Times New Roman"/>
          <w:spacing w:val="-1"/>
          <w:sz w:val="24"/>
          <w:szCs w:val="24"/>
        </w:rPr>
        <w:t>Требования к обеспечению кредитных сделок суммами свыше 10 млн. руб.:</w:t>
      </w:r>
    </w:p>
    <w:p w:rsidR="00130216" w:rsidRDefault="00130216">
      <w:pPr>
        <w:shd w:val="clear" w:color="auto" w:fill="FFFFFF"/>
        <w:tabs>
          <w:tab w:val="left" w:pos="307"/>
        </w:tabs>
        <w:spacing w:before="274" w:line="274" w:lineRule="exact"/>
        <w:ind w:left="24" w:right="86"/>
        <w:jc w:val="both"/>
      </w:pPr>
      <w:r>
        <w:rPr>
          <w:spacing w:val="-18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Обеспечение в виде поручительства (предоставляется на весь срок действия кредитного договора по всем</w:t>
      </w:r>
      <w:r>
        <w:rPr>
          <w:rFonts w:eastAsia="Times New Roman"/>
          <w:sz w:val="24"/>
          <w:szCs w:val="24"/>
        </w:rPr>
        <w:br/>
        <w:t>денежным обязательствам Субъекта МСП, возникшим из кредитного договора):</w:t>
      </w:r>
    </w:p>
    <w:p w:rsidR="00130216" w:rsidRDefault="00130216">
      <w:pPr>
        <w:shd w:val="clear" w:color="auto" w:fill="FFFFFF"/>
        <w:spacing w:line="274" w:lineRule="exact"/>
        <w:ind w:left="5"/>
      </w:pPr>
      <w:r>
        <w:rPr>
          <w:rFonts w:eastAsia="Times New Roman"/>
          <w:i/>
          <w:iCs/>
          <w:sz w:val="24"/>
          <w:szCs w:val="24"/>
        </w:rPr>
        <w:t xml:space="preserve">Для юридических лиц: </w:t>
      </w:r>
      <w:r>
        <w:rPr>
          <w:rFonts w:eastAsia="Times New Roman"/>
          <w:sz w:val="24"/>
          <w:szCs w:val="24"/>
        </w:rPr>
        <w:t>поручительство бенефициарных владельцев или акционеров, участников Субъекта МСП</w:t>
      </w:r>
    </w:p>
    <w:p w:rsidR="00130216" w:rsidRDefault="00130216">
      <w:pPr>
        <w:shd w:val="clear" w:color="auto" w:fill="FFFFFF"/>
        <w:spacing w:line="274" w:lineRule="exact"/>
        <w:ind w:left="34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юридических и физических лиц), в совокупности владеющих более 50%) уставного капитала Субъекта МСП, на</w:t>
      </w:r>
    </w:p>
    <w:p w:rsidR="00130216" w:rsidRDefault="00130216">
      <w:pPr>
        <w:shd w:val="clear" w:color="auto" w:fill="FFFFFF"/>
        <w:spacing w:line="274" w:lineRule="exact"/>
        <w:ind w:left="34"/>
      </w:pPr>
      <w:r>
        <w:rPr>
          <w:rFonts w:eastAsia="Times New Roman"/>
          <w:spacing w:val="-1"/>
          <w:sz w:val="24"/>
          <w:szCs w:val="24"/>
        </w:rPr>
        <w:t>сумму не менее размера кредита.</w:t>
      </w:r>
    </w:p>
    <w:p w:rsidR="00130216" w:rsidRDefault="00130216">
      <w:pPr>
        <w:shd w:val="clear" w:color="auto" w:fill="FFFFFF"/>
        <w:spacing w:before="43" w:line="274" w:lineRule="exact"/>
      </w:pPr>
      <w:r>
        <w:rPr>
          <w:rFonts w:eastAsia="Times New Roman"/>
          <w:i/>
          <w:iCs/>
          <w:sz w:val="24"/>
          <w:szCs w:val="24"/>
        </w:rPr>
        <w:t xml:space="preserve">Для индивидуальных предпринимателей: </w:t>
      </w:r>
      <w:r>
        <w:rPr>
          <w:rFonts w:eastAsia="Times New Roman"/>
          <w:sz w:val="24"/>
          <w:szCs w:val="24"/>
        </w:rPr>
        <w:t>поручительство физических и (или) юридических лиц И поручительство</w:t>
      </w:r>
    </w:p>
    <w:p w:rsidR="00130216" w:rsidRDefault="00130216">
      <w:pPr>
        <w:shd w:val="clear" w:color="auto" w:fill="FFFFFF"/>
        <w:spacing w:line="274" w:lineRule="exact"/>
        <w:ind w:left="29"/>
      </w:pPr>
      <w:r>
        <w:rPr>
          <w:rFonts w:eastAsia="Times New Roman"/>
          <w:sz w:val="24"/>
          <w:szCs w:val="24"/>
        </w:rPr>
        <w:t xml:space="preserve">супруга(-и) </w:t>
      </w:r>
      <w:r>
        <w:rPr>
          <w:rFonts w:eastAsia="Times New Roman"/>
          <w:i/>
          <w:iCs/>
          <w:sz w:val="24"/>
          <w:szCs w:val="24"/>
        </w:rPr>
        <w:t xml:space="preserve">(только для индивидуальных предпринимателей,  состоящих в браке) </w:t>
      </w:r>
      <w:r>
        <w:rPr>
          <w:rFonts w:eastAsia="Times New Roman"/>
          <w:sz w:val="24"/>
          <w:szCs w:val="24"/>
        </w:rPr>
        <w:t>на сумму не менее размера</w:t>
      </w:r>
    </w:p>
    <w:p w:rsidR="00130216" w:rsidRDefault="00130216">
      <w:pPr>
        <w:shd w:val="clear" w:color="auto" w:fill="FFFFFF"/>
        <w:spacing w:line="274" w:lineRule="exact"/>
        <w:ind w:left="29"/>
      </w:pPr>
      <w:r>
        <w:rPr>
          <w:rFonts w:eastAsia="Times New Roman"/>
          <w:sz w:val="24"/>
          <w:szCs w:val="24"/>
        </w:rPr>
        <w:t>кредита</w:t>
      </w:r>
    </w:p>
    <w:p w:rsidR="00130216" w:rsidRDefault="00130216">
      <w:pPr>
        <w:shd w:val="clear" w:color="auto" w:fill="FFFFFF"/>
        <w:tabs>
          <w:tab w:val="left" w:pos="307"/>
        </w:tabs>
        <w:spacing w:line="274" w:lineRule="exact"/>
        <w:ind w:left="24" w:right="77"/>
        <w:jc w:val="both"/>
      </w:pPr>
      <w:r>
        <w:rPr>
          <w:spacing w:val="-6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Обеспечение не менее чем на 70% от суммы основного долга по кредитному договору одним или несколькими</w:t>
      </w:r>
      <w:r>
        <w:rPr>
          <w:rFonts w:eastAsia="Times New Roman"/>
          <w:sz w:val="24"/>
          <w:szCs w:val="24"/>
        </w:rPr>
        <w:br/>
        <w:t>видами обеспечения из ниже перечисленных (представляется на весь срок действия кредитного договора по всем</w:t>
      </w:r>
      <w:r>
        <w:rPr>
          <w:rFonts w:eastAsia="Times New Roman"/>
          <w:sz w:val="24"/>
          <w:szCs w:val="24"/>
        </w:rPr>
        <w:br/>
        <w:t>денежным обязательствам Субъекта МСП, возникшим из кредитного договора):</w:t>
      </w:r>
    </w:p>
    <w:p w:rsidR="00130216" w:rsidRDefault="00130216">
      <w:pPr>
        <w:shd w:val="clear" w:color="auto" w:fill="FFFFFF"/>
        <w:tabs>
          <w:tab w:val="left" w:leader="underscore" w:pos="12058"/>
        </w:tabs>
        <w:spacing w:line="274" w:lineRule="exact"/>
        <w:ind w:left="34"/>
      </w:pPr>
      <w:r>
        <w:rPr>
          <w:spacing w:val="-3"/>
          <w:sz w:val="24"/>
          <w:szCs w:val="24"/>
          <w:u w:val="single"/>
        </w:rPr>
        <w:t xml:space="preserve">- </w:t>
      </w:r>
      <w:r>
        <w:rPr>
          <w:rFonts w:eastAsia="Times New Roman"/>
          <w:spacing w:val="-3"/>
          <w:sz w:val="24"/>
          <w:szCs w:val="24"/>
          <w:u w:val="single"/>
        </w:rPr>
        <w:t>поручительство региональных гарантийных организаций;</w:t>
      </w:r>
      <w:r>
        <w:rPr>
          <w:rFonts w:eastAsia="Times New Roman"/>
          <w:sz w:val="24"/>
          <w:szCs w:val="24"/>
        </w:rPr>
        <w:tab/>
      </w:r>
    </w:p>
    <w:p w:rsidR="00130216" w:rsidRDefault="00130216">
      <w:pPr>
        <w:shd w:val="clear" w:color="auto" w:fill="FFFFFF"/>
        <w:tabs>
          <w:tab w:val="left" w:leader="underscore" w:pos="12058"/>
        </w:tabs>
        <w:spacing w:line="274" w:lineRule="exact"/>
        <w:ind w:left="34"/>
        <w:sectPr w:rsidR="00130216">
          <w:type w:val="continuous"/>
          <w:pgSz w:w="16834" w:h="11909" w:orient="landscape"/>
          <w:pgMar w:top="955" w:right="1342" w:bottom="360" w:left="1342" w:header="720" w:footer="720" w:gutter="0"/>
          <w:cols w:num="2" w:space="720" w:equalWidth="0">
            <w:col w:w="1320" w:space="773"/>
            <w:col w:w="12057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12187"/>
      </w:tblGrid>
      <w:tr w:rsidR="00130216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</w:pPr>
          </w:p>
        </w:tc>
        <w:tc>
          <w:tcPr>
            <w:tcW w:w="1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залог недвижимого имущества;</w:t>
            </w:r>
          </w:p>
          <w:p w:rsidR="00130216" w:rsidRDefault="00130216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залог движимого имущества;</w:t>
            </w:r>
          </w:p>
          <w:p w:rsidR="00130216" w:rsidRDefault="00130216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независимая гарантия АО «Корпорация «МСП»;</w:t>
            </w:r>
          </w:p>
          <w:p w:rsidR="00130216" w:rsidRDefault="00130216">
            <w:pPr>
              <w:shd w:val="clear" w:color="auto" w:fill="FFFFFF"/>
              <w:tabs>
                <w:tab w:val="left" w:pos="250"/>
              </w:tabs>
              <w:spacing w:line="274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иные виды обеспечения по решению Уполномоченного органа Банка.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Обязательства</w:t>
            </w:r>
          </w:p>
        </w:tc>
        <w:tc>
          <w:tcPr>
            <w:tcW w:w="1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  <w:ind w:right="14"/>
            </w:pPr>
            <w:r>
              <w:rPr>
                <w:rFonts w:eastAsia="Times New Roman"/>
                <w:sz w:val="24"/>
                <w:szCs w:val="24"/>
              </w:rPr>
              <w:t xml:space="preserve">В соответствии с Альбомом стандартных требованиях и ковенантов по кредитным сделкам АО «МСП Банк», а также, если применимо, дополнительные индивидуальные обязательства Заемщика, установленные АО «МСП </w:t>
            </w:r>
            <w:r>
              <w:rPr>
                <w:rFonts w:eastAsia="Times New Roman"/>
                <w:spacing w:val="-1"/>
                <w:sz w:val="24"/>
                <w:szCs w:val="24"/>
              </w:rPr>
              <w:t>Банк» на этапе структурирования кредитной сделки и утверждённые Уполномоченным органом Банка.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  <w:ind w:left="14" w:right="418"/>
            </w:pPr>
            <w:r>
              <w:rPr>
                <w:rFonts w:eastAsia="Times New Roman"/>
                <w:sz w:val="24"/>
                <w:szCs w:val="24"/>
              </w:rPr>
              <w:t>Финансовые и нефинансовые ковенанты</w:t>
            </w:r>
          </w:p>
        </w:tc>
        <w:tc>
          <w:tcPr>
            <w:tcW w:w="1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8" w:lineRule="exact"/>
              <w:ind w:right="14" w:firstLine="5"/>
            </w:pPr>
            <w:r>
              <w:rPr>
                <w:rFonts w:eastAsia="Times New Roman"/>
                <w:sz w:val="24"/>
                <w:szCs w:val="24"/>
              </w:rPr>
              <w:t xml:space="preserve">В соответствии с Альбомом стандартных требованиях и ковенантов по кредитным сделкам АО «МСП Банк» а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также, если применимо, дополнительные индивидуальные финансовые и нефинансовые ковенанты, установленные на этапе структурирования кредитной сделки и утверждённые Уполномоченным органом Банка.</w:t>
            </w:r>
          </w:p>
        </w:tc>
      </w:tr>
      <w:tr w:rsidR="00130216">
        <w:tblPrEx>
          <w:tblCellMar>
            <w:top w:w="0" w:type="dxa"/>
            <w:bottom w:w="0" w:type="dxa"/>
          </w:tblCellMar>
        </w:tblPrEx>
        <w:trPr>
          <w:trHeight w:hRule="exact" w:val="223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4" w:lineRule="exact"/>
              <w:ind w:left="14" w:right="158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Права АО «МСП </w:t>
            </w:r>
            <w:r>
              <w:rPr>
                <w:rFonts w:eastAsia="Times New Roman"/>
                <w:sz w:val="24"/>
                <w:szCs w:val="24"/>
              </w:rPr>
              <w:t>Банк» при нарушении финансовых и нефинансовых ковенантов и обязательств Заемщика</w:t>
            </w:r>
          </w:p>
        </w:tc>
        <w:tc>
          <w:tcPr>
            <w:tcW w:w="1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216" w:rsidRDefault="00130216">
            <w:pPr>
              <w:shd w:val="clear" w:color="auto" w:fill="FFFFFF"/>
              <w:spacing w:line="278" w:lineRule="exact"/>
              <w:ind w:right="24"/>
            </w:pPr>
            <w:r>
              <w:rPr>
                <w:rFonts w:eastAsia="Times New Roman"/>
                <w:sz w:val="24"/>
                <w:szCs w:val="24"/>
              </w:rPr>
              <w:t>В соответствии с Альбомом стандартных требованиях и ковенантов по кредитным сделкам АО «МСП Банк» и условиями, определенными решением Уполномоченного органа Банка и отраженными в кредитном договоре.</w:t>
            </w:r>
          </w:p>
        </w:tc>
      </w:tr>
    </w:tbl>
    <w:p w:rsidR="00130216" w:rsidRDefault="004406E0">
      <w:pPr>
        <w:spacing w:before="5"/>
        <w:ind w:left="11563" w:right="6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1445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216">
      <w:pgSz w:w="16834" w:h="11909" w:orient="landscape"/>
      <w:pgMar w:top="1440" w:right="1258" w:bottom="720" w:left="12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44BE2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56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6D"/>
    <w:rsid w:val="00130216"/>
    <w:rsid w:val="003353BD"/>
    <w:rsid w:val="004406E0"/>
    <w:rsid w:val="004C0A6D"/>
    <w:rsid w:val="009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02ED28-488B-4D7D-92CE-3C85CC6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2024-12-10T01:57:00Z</dcterms:created>
  <dcterms:modified xsi:type="dcterms:W3CDTF">2024-12-10T01:57:00Z</dcterms:modified>
</cp:coreProperties>
</file>